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FD05C8">
      <w:pPr>
        <w:widowControl w:val="0"/>
        <w:spacing w:line="360" w:lineRule="auto"/>
        <w:ind w:left="6264"/>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41647B29" w14:textId="65AFD1C3" w:rsidR="00056BB6" w:rsidRPr="00B512F0" w:rsidRDefault="00C50F8B" w:rsidP="00B512F0">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B512F0" w:rsidRPr="00B512F0">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FD05C8">
        <w:rPr>
          <w:rFonts w:asciiTheme="minorBidi" w:hAnsiTheme="minorBidi"/>
          <w:bCs/>
          <w:iCs/>
          <w:lang w:val="it-IT"/>
        </w:rPr>
        <w:t>Preci</w:t>
      </w:r>
      <w:r w:rsidR="00B512F0" w:rsidRPr="00B512F0">
        <w:rPr>
          <w:rFonts w:asciiTheme="minorBidi" w:hAnsiTheme="minorBidi"/>
          <w:bCs/>
          <w:iCs/>
          <w:lang w:val="it-IT"/>
        </w:rPr>
        <w:t xml:space="preserve"> </w:t>
      </w:r>
      <w:proofErr w:type="spellStart"/>
      <w:r w:rsidR="00F32A3F">
        <w:rPr>
          <w:rFonts w:asciiTheme="minorBidi" w:hAnsiTheme="minorBidi"/>
          <w:bCs/>
          <w:iCs/>
          <w:lang w:val="it-IT"/>
        </w:rPr>
        <w:t>Loc</w:t>
      </w:r>
      <w:proofErr w:type="spellEnd"/>
      <w:r w:rsidR="00F32A3F">
        <w:rPr>
          <w:rFonts w:asciiTheme="minorBidi" w:hAnsiTheme="minorBidi"/>
          <w:bCs/>
          <w:iCs/>
          <w:lang w:val="it-IT"/>
        </w:rPr>
        <w:t xml:space="preserve">. Saccovescio </w:t>
      </w:r>
      <w:r w:rsidR="00B512F0" w:rsidRPr="00B512F0">
        <w:rPr>
          <w:rFonts w:asciiTheme="minorBidi" w:hAnsiTheme="minorBidi"/>
          <w:bCs/>
          <w:iCs/>
          <w:lang w:val="it-IT"/>
        </w:rPr>
        <w:t xml:space="preserve">(PG) via </w:t>
      </w:r>
      <w:r w:rsidR="00F32A3F">
        <w:rPr>
          <w:rFonts w:asciiTheme="minorBidi" w:hAnsiTheme="minorBidi"/>
          <w:bCs/>
          <w:iCs/>
          <w:lang w:val="it-IT"/>
        </w:rPr>
        <w:t>Cairoli 23</w:t>
      </w:r>
      <w:r w:rsidR="00B512F0" w:rsidRPr="00B512F0">
        <w:rPr>
          <w:rFonts w:asciiTheme="minorBidi" w:hAnsiTheme="minorBidi"/>
          <w:bCs/>
          <w:iCs/>
          <w:lang w:val="it-IT"/>
        </w:rPr>
        <w:t xml:space="preserve"> - </w:t>
      </w:r>
      <w:r w:rsidR="00F32A3F">
        <w:rPr>
          <w:rFonts w:asciiTheme="minorBidi" w:hAnsiTheme="minorBidi"/>
          <w:bCs/>
          <w:iCs/>
          <w:lang w:val="it-IT"/>
        </w:rPr>
        <w:t>4</w:t>
      </w:r>
      <w:r w:rsidR="00B512F0" w:rsidRPr="00B512F0">
        <w:rPr>
          <w:rFonts w:asciiTheme="minorBidi" w:hAnsiTheme="minorBidi"/>
          <w:bCs/>
          <w:iCs/>
          <w:lang w:val="it-IT"/>
        </w:rPr>
        <w:t xml:space="preserve"> alloggi -</w:t>
      </w:r>
      <w:r w:rsidR="000732C6">
        <w:rPr>
          <w:rFonts w:asciiTheme="minorBidi" w:hAnsiTheme="minorBidi"/>
          <w:lang w:val="it-IT"/>
        </w:rPr>
        <w:t xml:space="preserve"> Sisma 2016 Ordinanza commissariale n. 27/2017 -  </w:t>
      </w:r>
      <w:r w:rsidR="00B512F0" w:rsidRPr="00B512F0">
        <w:rPr>
          <w:rFonts w:asciiTheme="minorBidi" w:hAnsiTheme="minorBidi"/>
          <w:bCs/>
          <w:iCs/>
          <w:lang w:val="it-IT"/>
        </w:rPr>
        <w:t>CUP H41D18000000006 - CIG 78131</w:t>
      </w:r>
      <w:r w:rsidR="00F32A3F">
        <w:rPr>
          <w:rFonts w:asciiTheme="minorBidi" w:hAnsiTheme="minorBidi"/>
          <w:bCs/>
          <w:iCs/>
          <w:lang w:val="it-IT"/>
        </w:rPr>
        <w:t>932D5</w:t>
      </w:r>
      <w:r w:rsidR="00B512F0" w:rsidRPr="00B512F0">
        <w:rPr>
          <w:rFonts w:asciiTheme="minorBidi" w:hAnsiTheme="minorBidi"/>
          <w:bCs/>
          <w:iCs/>
          <w:lang w:val="it-IT"/>
        </w:rPr>
        <w:t>.</w:t>
      </w:r>
    </w:p>
    <w:p w14:paraId="09C318AD" w14:textId="77777777" w:rsidR="00FD05C8" w:rsidRDefault="00FD05C8" w:rsidP="006F139F">
      <w:pPr>
        <w:widowControl w:val="0"/>
        <w:spacing w:line="360" w:lineRule="auto"/>
        <w:ind w:left="72"/>
        <w:jc w:val="both"/>
        <w:rPr>
          <w:rFonts w:asciiTheme="minorBidi" w:hAnsiTheme="minorBidi"/>
          <w:lang w:val="it-IT"/>
        </w:rPr>
      </w:pPr>
    </w:p>
    <w:p w14:paraId="5A0BB5B9" w14:textId="3AB696C7" w:rsidR="00FD358D" w:rsidRPr="00FD358D" w:rsidRDefault="00FD358D" w:rsidP="006F139F">
      <w:pPr>
        <w:widowControl w:val="0"/>
        <w:spacing w:line="360" w:lineRule="auto"/>
        <w:ind w:left="72"/>
        <w:jc w:val="both"/>
        <w:rPr>
          <w:rFonts w:asciiTheme="minorBidi" w:hAnsiTheme="minorBidi"/>
          <w:lang w:val="it-IT"/>
        </w:rPr>
      </w:pPr>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lastRenderedPageBreak/>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lastRenderedPageBreak/>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2EFAC710"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F65C3">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7DB2DCF5" w:rsidR="00FD6642" w:rsidRPr="00FD358D" w:rsidRDefault="00C147D7"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0D897B18" w14:textId="77777777" w:rsidR="00230B6B" w:rsidRPr="00FD358D" w:rsidRDefault="00230B6B" w:rsidP="00230B6B">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6E43F08D" w14:textId="3E5CE31C" w:rsidR="00230B6B" w:rsidRPr="00FD358D" w:rsidRDefault="00230B6B" w:rsidP="00230B6B">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 xml:space="preserve">Nei casi di cui all’art. 110, comma </w:t>
      </w:r>
      <w:r w:rsidR="001F0BBD">
        <w:rPr>
          <w:rFonts w:asciiTheme="minorBidi" w:hAnsiTheme="minorBidi"/>
          <w:bCs/>
          <w:i/>
          <w:lang w:val="it-IT"/>
        </w:rPr>
        <w:t>5</w:t>
      </w:r>
      <w:bookmarkStart w:id="0" w:name="_GoBack"/>
      <w:bookmarkEnd w:id="0"/>
      <w:r w:rsidRPr="00FD358D">
        <w:rPr>
          <w:rFonts w:asciiTheme="minorBidi" w:hAnsiTheme="minorBidi"/>
          <w:bCs/>
          <w:i/>
          <w:lang w:val="it-IT"/>
        </w:rPr>
        <w:t>, del D. Lgs. 50/2016 deve essere allegata</w:t>
      </w:r>
      <w:r w:rsidRPr="00FD358D">
        <w:rPr>
          <w:rFonts w:asciiTheme="minorBidi" w:hAnsiTheme="minorBidi"/>
          <w:b/>
          <w:i/>
          <w:lang w:val="it-IT"/>
        </w:rPr>
        <w:t>:</w:t>
      </w:r>
    </w:p>
    <w:p w14:paraId="437E676E" w14:textId="2D7EC59F" w:rsidR="00230B6B"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dichiarazione sostitutiva con la quale l’impresa ammessa al concordato con continuità aziendale attesta di essere stat</w:t>
      </w:r>
      <w:r w:rsidR="007C7049">
        <w:rPr>
          <w:rFonts w:asciiTheme="minorBidi" w:hAnsiTheme="minorBidi"/>
          <w:lang w:val="it-IT"/>
        </w:rPr>
        <w:t>a</w:t>
      </w:r>
      <w:r w:rsidRPr="00FD358D">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0F8781D1" w14:textId="73703455" w:rsidR="00230B6B" w:rsidRPr="000E7DA2"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ricorre la fattispecie di cui all’art. 110, comma 5, del D. Lgs. 50/2016;</w:t>
      </w:r>
    </w:p>
    <w:p w14:paraId="4ADA5A9E" w14:textId="66F66AE2" w:rsidR="00823EBA" w:rsidRPr="00230B6B" w:rsidRDefault="00FD6642" w:rsidP="00230B6B">
      <w:pPr>
        <w:pStyle w:val="Paragrafoelenco"/>
        <w:widowControl w:val="0"/>
        <w:numPr>
          <w:ilvl w:val="0"/>
          <w:numId w:val="2"/>
        </w:numPr>
        <w:spacing w:line="360" w:lineRule="auto"/>
        <w:ind w:hanging="502"/>
        <w:jc w:val="both"/>
        <w:rPr>
          <w:rFonts w:asciiTheme="minorBidi" w:hAnsiTheme="minorBidi"/>
          <w:lang w:val="it-IT"/>
        </w:rPr>
      </w:pPr>
      <w:r w:rsidRPr="00230B6B">
        <w:rPr>
          <w:rFonts w:asciiTheme="minorBidi" w:hAnsiTheme="minorBidi"/>
          <w:lang w:val="it-IT"/>
        </w:rPr>
        <w:lastRenderedPageBreak/>
        <w:t>di non aver commesso gravi illeciti professionali, tali da rendere dubbia la propria integrità o affidabilità</w:t>
      </w:r>
      <w:r w:rsidR="00823EBA" w:rsidRPr="00230B6B">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lastRenderedPageBreak/>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74C21CC1" w:rsidR="00AC4518" w:rsidRPr="00FD358D" w:rsidRDefault="00B90A6B" w:rsidP="006F139F">
      <w:pPr>
        <w:widowControl w:val="0"/>
        <w:spacing w:line="360" w:lineRule="auto"/>
        <w:ind w:left="567" w:right="79"/>
        <w:jc w:val="both"/>
        <w:rPr>
          <w:rFonts w:asciiTheme="minorBidi" w:hAnsiTheme="minorBidi"/>
          <w:lang w:val="it-IT"/>
        </w:rPr>
      </w:pPr>
      <w:r w:rsidRPr="00607A99">
        <w:rPr>
          <w:rFonts w:asciiTheme="minorBidi" w:hAnsiTheme="minorBidi"/>
          <w:lang w:val="it-IT"/>
        </w:rPr>
        <w:lastRenderedPageBreak/>
        <w:sym w:font="Webdings" w:char="F063"/>
      </w:r>
      <w:r w:rsidRPr="00607A99">
        <w:rPr>
          <w:rFonts w:asciiTheme="minorBidi" w:hAnsiTheme="minorBidi"/>
          <w:lang w:val="it-IT"/>
        </w:rPr>
        <w:t xml:space="preserve"> </w:t>
      </w:r>
      <w:r w:rsidR="00AC4518" w:rsidRPr="00607A99">
        <w:rPr>
          <w:rFonts w:asciiTheme="minorBidi" w:hAnsiTheme="minorBidi"/>
          <w:lang w:val="it-IT"/>
        </w:rPr>
        <w:t>di aver presentato domanda di iscrizione</w:t>
      </w:r>
      <w:r w:rsidR="00F03B11" w:rsidRPr="00607A99">
        <w:rPr>
          <w:rFonts w:asciiTheme="minorBidi" w:hAnsiTheme="minorBidi"/>
          <w:lang w:val="it-IT"/>
        </w:rPr>
        <w:t xml:space="preserve">/rinnovo </w:t>
      </w:r>
      <w:r w:rsidR="00AC4518" w:rsidRPr="00607A99">
        <w:rPr>
          <w:rFonts w:asciiTheme="minorBidi" w:hAnsiTheme="minorBidi"/>
          <w:lang w:val="it-IT"/>
        </w:rPr>
        <w:t xml:space="preserve"> all’Anagrafe Antimafia degli Esecutori così</w:t>
      </w:r>
      <w:r w:rsidR="00AC4518" w:rsidRPr="00A75518">
        <w:rPr>
          <w:rFonts w:asciiTheme="minorBidi" w:hAnsiTheme="minorBidi"/>
          <w:lang w:val="it-IT"/>
        </w:rPr>
        <w:t xml:space="preserve"> 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i rispettare gli obblighi in materia ambientale, sociale, e del lavoro stabiliti dalla normativa europea 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65B378BE"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 xml:space="preserve">re lo stato dei luoghi 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gs 81/2008 s.m.i)</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07A99">
      <w:pPr>
        <w:widowControl w:val="0"/>
        <w:spacing w:line="360" w:lineRule="auto"/>
        <w:ind w:right="79" w:firstLine="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avere accertato l'esistenza e la reperibilità sul mercato dei materiali e della manodopera da </w:t>
      </w:r>
      <w:r w:rsidRPr="00FD358D">
        <w:rPr>
          <w:rFonts w:asciiTheme="minorBidi" w:hAnsiTheme="minorBidi"/>
          <w:lang w:val="it-IT"/>
        </w:rPr>
        <w:lastRenderedPageBreak/>
        <w:t>impiegare, in relazione ai tempi previsti per l'esecuzione degli stessi;</w:t>
      </w:r>
    </w:p>
    <w:p w14:paraId="25408552" w14:textId="7F05D91F"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esaminato gli elaborati progettuali</w:t>
      </w:r>
      <w:r w:rsidR="00F41BAA">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00F41BAA" w:rsidRPr="00C0174A">
        <w:rPr>
          <w:rFonts w:asciiTheme="minorBidi" w:hAnsiTheme="minorBidi"/>
        </w:rPr>
        <w:t xml:space="preserve">di aver </w:t>
      </w:r>
      <w:proofErr w:type="spellStart"/>
      <w:r w:rsidR="00F41BAA" w:rsidRPr="00C0174A">
        <w:rPr>
          <w:rFonts w:asciiTheme="minorBidi" w:hAnsiTheme="minorBidi"/>
        </w:rPr>
        <w:t>verificato</w:t>
      </w:r>
      <w:proofErr w:type="spellEnd"/>
      <w:r w:rsidR="00F41BAA" w:rsidRPr="00C0174A">
        <w:rPr>
          <w:rFonts w:asciiTheme="minorBidi" w:hAnsiTheme="minorBidi"/>
        </w:rPr>
        <w:t xml:space="preserve"> le </w:t>
      </w:r>
      <w:proofErr w:type="spellStart"/>
      <w:r w:rsidR="00F41BAA" w:rsidRPr="00C0174A">
        <w:rPr>
          <w:rFonts w:asciiTheme="minorBidi" w:hAnsiTheme="minorBidi"/>
        </w:rPr>
        <w:t>capacità</w:t>
      </w:r>
      <w:proofErr w:type="spellEnd"/>
      <w:r w:rsidR="00F41BAA" w:rsidRPr="00C0174A">
        <w:rPr>
          <w:rFonts w:asciiTheme="minorBidi" w:hAnsiTheme="minorBidi"/>
        </w:rPr>
        <w:t xml:space="preserve"> e le </w:t>
      </w:r>
      <w:proofErr w:type="spellStart"/>
      <w:r w:rsidR="00F41BAA" w:rsidRPr="00C0174A">
        <w:rPr>
          <w:rFonts w:asciiTheme="minorBidi" w:hAnsiTheme="minorBidi"/>
        </w:rPr>
        <w:t>disponibilità</w:t>
      </w:r>
      <w:proofErr w:type="spellEnd"/>
      <w:r w:rsidR="00F41BAA" w:rsidRPr="00C0174A">
        <w:rPr>
          <w:rFonts w:asciiTheme="minorBidi" w:hAnsiTheme="minorBidi"/>
        </w:rPr>
        <w:t xml:space="preserve">, </w:t>
      </w:r>
      <w:proofErr w:type="spellStart"/>
      <w:r w:rsidR="00F41BAA" w:rsidRPr="00C0174A">
        <w:rPr>
          <w:rFonts w:asciiTheme="minorBidi" w:hAnsiTheme="minorBidi"/>
        </w:rPr>
        <w:t>compatibili</w:t>
      </w:r>
      <w:proofErr w:type="spellEnd"/>
      <w:r w:rsidR="00F41BAA" w:rsidRPr="00C0174A">
        <w:rPr>
          <w:rFonts w:asciiTheme="minorBidi" w:hAnsiTheme="minorBidi"/>
        </w:rPr>
        <w:t xml:space="preserve"> con i tempi di esecuzione </w:t>
      </w:r>
      <w:proofErr w:type="spellStart"/>
      <w:r w:rsidR="00F41BAA" w:rsidRPr="00C0174A">
        <w:rPr>
          <w:rFonts w:asciiTheme="minorBidi" w:hAnsiTheme="minorBidi"/>
        </w:rPr>
        <w:t>previsti</w:t>
      </w:r>
      <w:proofErr w:type="spellEnd"/>
      <w:r w:rsidR="00F41BAA" w:rsidRPr="00C0174A">
        <w:rPr>
          <w:rFonts w:asciiTheme="minorBidi" w:hAnsiTheme="minorBidi"/>
        </w:rPr>
        <w:t xml:space="preserve">, delle cave </w:t>
      </w:r>
      <w:proofErr w:type="spellStart"/>
      <w:r w:rsidR="00F41BAA" w:rsidRPr="00C0174A">
        <w:rPr>
          <w:rFonts w:asciiTheme="minorBidi" w:hAnsiTheme="minorBidi"/>
        </w:rPr>
        <w:t>eventualmente</w:t>
      </w:r>
      <w:proofErr w:type="spellEnd"/>
      <w:r w:rsidR="00F41BAA" w:rsidRPr="00C0174A">
        <w:rPr>
          <w:rFonts w:asciiTheme="minorBidi" w:hAnsiTheme="minorBidi"/>
        </w:rPr>
        <w:t xml:space="preserve"> </w:t>
      </w:r>
      <w:proofErr w:type="spellStart"/>
      <w:r w:rsidR="00F41BAA" w:rsidRPr="00C0174A">
        <w:rPr>
          <w:rFonts w:asciiTheme="minorBidi" w:hAnsiTheme="minorBidi"/>
        </w:rPr>
        <w:t>necessarie</w:t>
      </w:r>
      <w:proofErr w:type="spellEnd"/>
      <w:r w:rsidR="00F41BAA" w:rsidRPr="00C0174A">
        <w:rPr>
          <w:rFonts w:asciiTheme="minorBidi" w:hAnsiTheme="minorBidi"/>
        </w:rPr>
        <w:t xml:space="preserve"> e delle </w:t>
      </w:r>
      <w:proofErr w:type="spellStart"/>
      <w:r w:rsidR="00F41BAA" w:rsidRPr="00C0174A">
        <w:rPr>
          <w:rFonts w:asciiTheme="minorBidi" w:hAnsiTheme="minorBidi"/>
        </w:rPr>
        <w:t>discariche</w:t>
      </w:r>
      <w:proofErr w:type="spellEnd"/>
      <w:r w:rsidR="00F41BAA" w:rsidRPr="00C0174A">
        <w:rPr>
          <w:rFonts w:asciiTheme="minorBidi" w:hAnsiTheme="minorBidi"/>
        </w:rPr>
        <w:t xml:space="preserve"> </w:t>
      </w:r>
      <w:proofErr w:type="spellStart"/>
      <w:r w:rsidR="00F41BAA" w:rsidRPr="00C0174A">
        <w:rPr>
          <w:rFonts w:asciiTheme="minorBidi" w:hAnsiTheme="minorBidi"/>
        </w:rPr>
        <w:t>autorizzate</w:t>
      </w:r>
      <w:proofErr w:type="spellEnd"/>
      <w:r w:rsidR="00F41BAA" w:rsidRPr="00FD358D">
        <w:rPr>
          <w:rFonts w:asciiTheme="minorBidi" w:hAnsiTheme="minorBidi"/>
          <w:lang w:val="it-IT"/>
        </w:rPr>
        <w:t xml:space="preserve"> </w:t>
      </w:r>
      <w:r w:rsidR="00F41BAA">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attrezzature adeguate all’entità e</w:t>
      </w:r>
      <w:r w:rsidR="00F41BAA">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w:t>
      </w:r>
      <w:r w:rsidRPr="00FD358D">
        <w:rPr>
          <w:rFonts w:asciiTheme="minorBidi" w:hAnsiTheme="minorBidi"/>
          <w:lang w:val="it-IT"/>
        </w:rPr>
        <w:lastRenderedPageBreak/>
        <w:t>sensi del D.P.R. 9 settembre 2016 e Centrale Unica di Committenza e Agenzia Nazionale per l'Attrazione degli Investimenti e lo Sviluppo d'Impresa s.p.a.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obbligarsi ad inserire in qualsiasi contratto e subcontratto apposita clausola con la quale ciascun 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w:t>
      </w:r>
      <w:proofErr w:type="gramStart"/>
      <w:r w:rsidR="004302E5" w:rsidRPr="00FD358D">
        <w:rPr>
          <w:rFonts w:asciiTheme="minorBidi" w:hAnsiTheme="minorBidi"/>
          <w:lang w:val="it-IT"/>
        </w:rPr>
        <w:t>predetta</w:t>
      </w:r>
      <w:proofErr w:type="gramEnd"/>
      <w:r w:rsidR="004302E5" w:rsidRPr="00FD358D">
        <w:rPr>
          <w:rFonts w:asciiTheme="minorBidi" w:hAnsiTheme="minorBidi"/>
          <w:lang w:val="it-IT"/>
        </w:rPr>
        <w:t xml:space="preserve">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w:t>
      </w:r>
      <w:proofErr w:type="gramStart"/>
      <w:r w:rsidR="007B1D38" w:rsidRPr="00FD358D">
        <w:rPr>
          <w:rFonts w:asciiTheme="minorBidi" w:hAnsiTheme="minorBidi"/>
          <w:lang w:val="it-IT"/>
        </w:rPr>
        <w:t>predetto</w:t>
      </w:r>
      <w:proofErr w:type="gramEnd"/>
      <w:r w:rsidR="007B1D38" w:rsidRPr="00FD358D">
        <w:rPr>
          <w:rFonts w:asciiTheme="minorBidi" w:hAnsiTheme="minorBidi"/>
          <w:lang w:val="it-IT"/>
        </w:rPr>
        <w:t xml:space="preserve">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lastRenderedPageBreak/>
        <w:t xml:space="preserve">di vincolarsi a denunciare all’Autorità Giudiziaria o agli organi di Polizia Giudiziaria ogni tentativo di estorsione, ogni illecita richiesta di denaro, di prestazioni o di </w:t>
      </w:r>
      <w:proofErr w:type="spellStart"/>
      <w:r w:rsidRPr="00FD358D">
        <w:rPr>
          <w:rFonts w:asciiTheme="minorBidi" w:hAnsiTheme="minorBidi"/>
          <w:lang w:val="it-IT"/>
        </w:rPr>
        <w:t>altra</w:t>
      </w:r>
      <w:proofErr w:type="spellEnd"/>
      <w:r w:rsidRPr="00FD358D">
        <w:rPr>
          <w:rFonts w:asciiTheme="minorBidi" w:hAnsiTheme="minorBidi"/>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lastRenderedPageBreak/>
        <w:t xml:space="preserve">l’obbligo di mettere a disposizione della Struttura i dati relativi alla forza lavoro presente in cantiere, specificando, per ciascuna </w:t>
      </w:r>
      <w:proofErr w:type="spellStart"/>
      <w:r w:rsidRPr="00FD358D">
        <w:rPr>
          <w:rFonts w:asciiTheme="minorBidi" w:hAnsiTheme="minorBidi"/>
          <w:lang w:val="it-IT"/>
        </w:rPr>
        <w:t>unita</w:t>
      </w:r>
      <w:proofErr w:type="spellEnd"/>
      <w:r w:rsidRPr="00FD358D">
        <w:rPr>
          <w:rFonts w:asciiTheme="minorBidi" w:hAnsiTheme="minorBidi"/>
          <w:lang w:val="it-IT"/>
        </w:rPr>
        <w:t xml:space="preserve">̀,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a non procedere alla stipula di alcun contratto o subcontratto con altri operatori 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nonché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w:t>
      </w:r>
      <w:r w:rsidR="00AE447E" w:rsidRPr="00FD358D">
        <w:rPr>
          <w:rFonts w:asciiTheme="minorBidi" w:hAnsiTheme="minorBidi"/>
          <w:lang w:val="it-IT"/>
        </w:rPr>
        <w:lastRenderedPageBreak/>
        <w:t>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1"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13675AA8"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d.lgs. 7 marzo 2005 n. </w:t>
      </w:r>
      <w:r w:rsidR="00B512F0">
        <w:rPr>
          <w:rFonts w:ascii="Arial" w:hAnsi="Arial" w:cs="Arial"/>
          <w:sz w:val="20"/>
          <w:szCs w:val="20"/>
          <w:lang w:val="it-IT"/>
        </w:rPr>
        <w:t xml:space="preserve">82) </w:t>
      </w:r>
      <w:r w:rsidR="00F40228" w:rsidRPr="00F40228">
        <w:rPr>
          <w:rFonts w:ascii="Arial" w:hAnsi="Arial" w:cs="Arial"/>
          <w:sz w:val="20"/>
          <w:szCs w:val="20"/>
          <w:lang w:val="it-IT"/>
        </w:rPr>
        <w:t>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1"/>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A9EA" w14:textId="77777777" w:rsidR="00FB33BB" w:rsidRDefault="00FB33BB" w:rsidP="002B5817">
      <w:r>
        <w:separator/>
      </w:r>
    </w:p>
  </w:endnote>
  <w:endnote w:type="continuationSeparator" w:id="0">
    <w:p w14:paraId="0CED2580" w14:textId="77777777" w:rsidR="00FB33BB" w:rsidRDefault="00FB33BB"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D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sidR="00F03B1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42C8" w14:textId="77777777" w:rsidR="00FB33BB" w:rsidRDefault="00FB33BB" w:rsidP="002B5817">
      <w:r>
        <w:separator/>
      </w:r>
    </w:p>
  </w:footnote>
  <w:footnote w:type="continuationSeparator" w:id="0">
    <w:p w14:paraId="32A0B9A2" w14:textId="77777777" w:rsidR="00FB33BB" w:rsidRDefault="00FB33BB"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732C6"/>
    <w:rsid w:val="000B19D0"/>
    <w:rsid w:val="000B1B58"/>
    <w:rsid w:val="000C124A"/>
    <w:rsid w:val="000C7A82"/>
    <w:rsid w:val="000D20AB"/>
    <w:rsid w:val="000D4D42"/>
    <w:rsid w:val="000E7DA2"/>
    <w:rsid w:val="001005B4"/>
    <w:rsid w:val="00106B38"/>
    <w:rsid w:val="00106DA4"/>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0BBD"/>
    <w:rsid w:val="001F1E01"/>
    <w:rsid w:val="00204839"/>
    <w:rsid w:val="00205AFF"/>
    <w:rsid w:val="00212FDB"/>
    <w:rsid w:val="00221625"/>
    <w:rsid w:val="002226ED"/>
    <w:rsid w:val="00223BBA"/>
    <w:rsid w:val="00230B6B"/>
    <w:rsid w:val="00232D49"/>
    <w:rsid w:val="00233ADF"/>
    <w:rsid w:val="00235759"/>
    <w:rsid w:val="002366E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4F4720"/>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0BC3"/>
    <w:rsid w:val="00607A99"/>
    <w:rsid w:val="006100BF"/>
    <w:rsid w:val="006408AF"/>
    <w:rsid w:val="00675FDA"/>
    <w:rsid w:val="00686AE5"/>
    <w:rsid w:val="006A7FDA"/>
    <w:rsid w:val="006B113B"/>
    <w:rsid w:val="006B19F8"/>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7247"/>
    <w:rsid w:val="007A735D"/>
    <w:rsid w:val="007B1D38"/>
    <w:rsid w:val="007C1AA4"/>
    <w:rsid w:val="007C6E87"/>
    <w:rsid w:val="007C7049"/>
    <w:rsid w:val="007D1782"/>
    <w:rsid w:val="007D1B51"/>
    <w:rsid w:val="007D25BB"/>
    <w:rsid w:val="007D4CD7"/>
    <w:rsid w:val="007E50A8"/>
    <w:rsid w:val="007E7431"/>
    <w:rsid w:val="007F65C3"/>
    <w:rsid w:val="007F6B06"/>
    <w:rsid w:val="00803C2E"/>
    <w:rsid w:val="0081008F"/>
    <w:rsid w:val="00811C80"/>
    <w:rsid w:val="00817813"/>
    <w:rsid w:val="00823EBA"/>
    <w:rsid w:val="008545B6"/>
    <w:rsid w:val="00857E50"/>
    <w:rsid w:val="008612FD"/>
    <w:rsid w:val="00871D81"/>
    <w:rsid w:val="00873EA3"/>
    <w:rsid w:val="00874D82"/>
    <w:rsid w:val="00876D03"/>
    <w:rsid w:val="008805B5"/>
    <w:rsid w:val="008A1E57"/>
    <w:rsid w:val="008A685F"/>
    <w:rsid w:val="008C637B"/>
    <w:rsid w:val="008D022C"/>
    <w:rsid w:val="008F4E48"/>
    <w:rsid w:val="008F76B7"/>
    <w:rsid w:val="009076F0"/>
    <w:rsid w:val="009171C9"/>
    <w:rsid w:val="00917436"/>
    <w:rsid w:val="009241E0"/>
    <w:rsid w:val="009248A2"/>
    <w:rsid w:val="009275B2"/>
    <w:rsid w:val="00940A29"/>
    <w:rsid w:val="009476FA"/>
    <w:rsid w:val="00952781"/>
    <w:rsid w:val="0096073D"/>
    <w:rsid w:val="00965C32"/>
    <w:rsid w:val="00967089"/>
    <w:rsid w:val="00977A51"/>
    <w:rsid w:val="00977DC4"/>
    <w:rsid w:val="00986D5E"/>
    <w:rsid w:val="009A5135"/>
    <w:rsid w:val="009A6CE3"/>
    <w:rsid w:val="009B0C36"/>
    <w:rsid w:val="009B2958"/>
    <w:rsid w:val="009B6EB6"/>
    <w:rsid w:val="009C3D68"/>
    <w:rsid w:val="009C686A"/>
    <w:rsid w:val="009C6C0B"/>
    <w:rsid w:val="009D232F"/>
    <w:rsid w:val="009D4D7C"/>
    <w:rsid w:val="009D595C"/>
    <w:rsid w:val="009E4AFB"/>
    <w:rsid w:val="009F4DEE"/>
    <w:rsid w:val="009F7F66"/>
    <w:rsid w:val="00A0055F"/>
    <w:rsid w:val="00A00E08"/>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12F0"/>
    <w:rsid w:val="00B545AB"/>
    <w:rsid w:val="00B547E2"/>
    <w:rsid w:val="00B64D0C"/>
    <w:rsid w:val="00B6618D"/>
    <w:rsid w:val="00B8031B"/>
    <w:rsid w:val="00B830D1"/>
    <w:rsid w:val="00B85AFA"/>
    <w:rsid w:val="00B90A6B"/>
    <w:rsid w:val="00B94CD8"/>
    <w:rsid w:val="00BA2171"/>
    <w:rsid w:val="00BA45EE"/>
    <w:rsid w:val="00BA64E2"/>
    <w:rsid w:val="00BB1E4C"/>
    <w:rsid w:val="00BC1928"/>
    <w:rsid w:val="00BC6D7D"/>
    <w:rsid w:val="00BD67BD"/>
    <w:rsid w:val="00BF144D"/>
    <w:rsid w:val="00C0174A"/>
    <w:rsid w:val="00C01B2C"/>
    <w:rsid w:val="00C023AD"/>
    <w:rsid w:val="00C13BDA"/>
    <w:rsid w:val="00C147D7"/>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52C65"/>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35E9"/>
    <w:rsid w:val="00E56133"/>
    <w:rsid w:val="00E6011B"/>
    <w:rsid w:val="00E6793F"/>
    <w:rsid w:val="00E769F8"/>
    <w:rsid w:val="00E81ED2"/>
    <w:rsid w:val="00EB064B"/>
    <w:rsid w:val="00EB2632"/>
    <w:rsid w:val="00EC307F"/>
    <w:rsid w:val="00ED3559"/>
    <w:rsid w:val="00ED48EB"/>
    <w:rsid w:val="00EE606B"/>
    <w:rsid w:val="00F03B11"/>
    <w:rsid w:val="00F046AD"/>
    <w:rsid w:val="00F07C80"/>
    <w:rsid w:val="00F13F9E"/>
    <w:rsid w:val="00F15D93"/>
    <w:rsid w:val="00F253E9"/>
    <w:rsid w:val="00F32A3F"/>
    <w:rsid w:val="00F338EF"/>
    <w:rsid w:val="00F40228"/>
    <w:rsid w:val="00F41BAA"/>
    <w:rsid w:val="00F5072F"/>
    <w:rsid w:val="00F5272F"/>
    <w:rsid w:val="00F54C30"/>
    <w:rsid w:val="00F56C7F"/>
    <w:rsid w:val="00F57A78"/>
    <w:rsid w:val="00F64CD8"/>
    <w:rsid w:val="00F86056"/>
    <w:rsid w:val="00F93053"/>
    <w:rsid w:val="00FA1FA5"/>
    <w:rsid w:val="00FB33BB"/>
    <w:rsid w:val="00FB512E"/>
    <w:rsid w:val="00FB7FC3"/>
    <w:rsid w:val="00FC5780"/>
    <w:rsid w:val="00FD05C8"/>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2637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BD446-2FC4-4DEA-86A6-AE568612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5191</Words>
  <Characters>29593</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17</cp:revision>
  <cp:lastPrinted>2019-01-10T09:07:00Z</cp:lastPrinted>
  <dcterms:created xsi:type="dcterms:W3CDTF">2019-04-18T08:34:00Z</dcterms:created>
  <dcterms:modified xsi:type="dcterms:W3CDTF">2019-05-07T11:27:00Z</dcterms:modified>
</cp:coreProperties>
</file>